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954" w14:textId="760D7AAD" w:rsidR="00567FEE" w:rsidRDefault="00567FEE" w:rsidP="007F726C">
      <w:pPr>
        <w:jc w:val="center"/>
      </w:pPr>
    </w:p>
    <w:p w14:paraId="7E282DD0" w14:textId="141E3545" w:rsidR="007F726C" w:rsidRDefault="00082C86" w:rsidP="007F726C">
      <w:pPr>
        <w:jc w:val="center"/>
        <w:rPr>
          <w:rFonts w:ascii="Arial" w:hAnsi="Arial" w:cs="Arial"/>
          <w:b/>
          <w:bCs/>
          <w:sz w:val="24"/>
          <w:szCs w:val="24"/>
        </w:rPr>
      </w:pPr>
      <w:r>
        <w:rPr>
          <w:rFonts w:ascii="Arial" w:hAnsi="Arial" w:cs="Arial"/>
          <w:b/>
          <w:bCs/>
          <w:sz w:val="24"/>
          <w:szCs w:val="24"/>
        </w:rPr>
        <w:t>GREEN MEMORY</w:t>
      </w:r>
      <w:r w:rsidR="00E87495">
        <w:rPr>
          <w:rFonts w:ascii="Arial" w:hAnsi="Arial" w:cs="Arial"/>
          <w:b/>
          <w:bCs/>
          <w:sz w:val="24"/>
          <w:szCs w:val="24"/>
        </w:rPr>
        <w:t xml:space="preserve"> Trial</w:t>
      </w:r>
    </w:p>
    <w:p w14:paraId="7BDAABE2" w14:textId="62B47CF7" w:rsidR="00282552" w:rsidRDefault="00082C86" w:rsidP="00082C86">
      <w:pPr>
        <w:ind w:firstLine="720"/>
        <w:contextualSpacing/>
        <w:rPr>
          <w:rFonts w:ascii="Arial" w:hAnsi="Arial" w:cs="Arial"/>
          <w:sz w:val="21"/>
          <w:szCs w:val="21"/>
        </w:rPr>
      </w:pPr>
      <w:r w:rsidRPr="00082C86">
        <w:rPr>
          <w:rFonts w:ascii="Arial" w:hAnsi="Arial" w:cs="Arial"/>
          <w:sz w:val="21"/>
          <w:szCs w:val="21"/>
        </w:rPr>
        <w:t>The GREEN MEMORY trial is a 52</w:t>
      </w:r>
      <w:r w:rsidR="00CA1D7C">
        <w:rPr>
          <w:rFonts w:ascii="Arial" w:hAnsi="Arial" w:cs="Arial"/>
          <w:sz w:val="21"/>
          <w:szCs w:val="21"/>
        </w:rPr>
        <w:t>-</w:t>
      </w:r>
      <w:r w:rsidRPr="00082C86">
        <w:rPr>
          <w:rFonts w:ascii="Arial" w:hAnsi="Arial" w:cs="Arial"/>
          <w:sz w:val="21"/>
          <w:szCs w:val="21"/>
        </w:rPr>
        <w:t>week, multi-center, randomized, double-blind, parallel-group, placebo-controlled</w:t>
      </w:r>
      <w:r w:rsidR="00282552">
        <w:rPr>
          <w:rFonts w:ascii="Arial" w:hAnsi="Arial" w:cs="Arial"/>
          <w:sz w:val="21"/>
          <w:szCs w:val="21"/>
        </w:rPr>
        <w:t xml:space="preserve"> </w:t>
      </w:r>
      <w:r w:rsidRPr="00082C86">
        <w:rPr>
          <w:rFonts w:ascii="Arial" w:hAnsi="Arial" w:cs="Arial"/>
          <w:sz w:val="21"/>
          <w:szCs w:val="21"/>
        </w:rPr>
        <w:t xml:space="preserve">clinical trial </w:t>
      </w:r>
      <w:r w:rsidR="00F83075">
        <w:rPr>
          <w:rFonts w:ascii="Arial" w:hAnsi="Arial" w:cs="Arial"/>
          <w:sz w:val="21"/>
          <w:szCs w:val="21"/>
        </w:rPr>
        <w:t xml:space="preserve">sponsored by </w:t>
      </w:r>
      <w:r w:rsidR="00515594">
        <w:rPr>
          <w:rFonts w:ascii="Arial" w:hAnsi="Arial" w:cs="Arial"/>
          <w:sz w:val="21"/>
          <w:szCs w:val="21"/>
        </w:rPr>
        <w:t xml:space="preserve">Shanghai </w:t>
      </w:r>
      <w:r w:rsidR="00F83075">
        <w:rPr>
          <w:rFonts w:ascii="Arial" w:hAnsi="Arial" w:cs="Arial"/>
          <w:sz w:val="21"/>
          <w:szCs w:val="21"/>
        </w:rPr>
        <w:t xml:space="preserve">Green Valley Pharmaceutical </w:t>
      </w:r>
      <w:r w:rsidR="00515594">
        <w:rPr>
          <w:rFonts w:ascii="Arial" w:hAnsi="Arial" w:cs="Arial"/>
          <w:sz w:val="21"/>
          <w:szCs w:val="21"/>
        </w:rPr>
        <w:t xml:space="preserve">Co. </w:t>
      </w:r>
      <w:r w:rsidRPr="00082C86">
        <w:rPr>
          <w:rFonts w:ascii="Arial" w:hAnsi="Arial" w:cs="Arial"/>
          <w:sz w:val="21"/>
          <w:szCs w:val="21"/>
        </w:rPr>
        <w:t xml:space="preserve">to evaluate the safety, </w:t>
      </w:r>
      <w:r w:rsidR="00CA1D7C" w:rsidRPr="00082C86">
        <w:rPr>
          <w:rFonts w:ascii="Arial" w:hAnsi="Arial" w:cs="Arial"/>
          <w:sz w:val="21"/>
          <w:szCs w:val="21"/>
        </w:rPr>
        <w:t>tolerability,</w:t>
      </w:r>
      <w:r w:rsidRPr="00082C86">
        <w:rPr>
          <w:rFonts w:ascii="Arial" w:hAnsi="Arial" w:cs="Arial"/>
          <w:sz w:val="21"/>
          <w:szCs w:val="21"/>
        </w:rPr>
        <w:t xml:space="preserve"> and efficacy of sodium </w:t>
      </w:r>
      <w:proofErr w:type="spellStart"/>
      <w:r w:rsidRPr="00082C86">
        <w:rPr>
          <w:rFonts w:ascii="Arial" w:hAnsi="Arial" w:cs="Arial"/>
          <w:sz w:val="21"/>
          <w:szCs w:val="21"/>
        </w:rPr>
        <w:t>oligomannate</w:t>
      </w:r>
      <w:proofErr w:type="spellEnd"/>
      <w:r w:rsidRPr="00082C86">
        <w:rPr>
          <w:rFonts w:ascii="Arial" w:hAnsi="Arial" w:cs="Arial"/>
          <w:sz w:val="21"/>
          <w:szCs w:val="21"/>
        </w:rPr>
        <w:t xml:space="preserve"> (GV-971) in treatment of mild to moderate Alzheimer's Disease</w:t>
      </w:r>
      <w:r w:rsidR="007204AA">
        <w:rPr>
          <w:rFonts w:ascii="Arial" w:hAnsi="Arial" w:cs="Arial"/>
          <w:sz w:val="21"/>
          <w:szCs w:val="21"/>
        </w:rPr>
        <w:t>.</w:t>
      </w:r>
      <w:r w:rsidR="00770217">
        <w:rPr>
          <w:rFonts w:ascii="Arial" w:hAnsi="Arial" w:cs="Arial"/>
          <w:sz w:val="21"/>
          <w:szCs w:val="21"/>
        </w:rPr>
        <w:t xml:space="preserve"> </w:t>
      </w:r>
      <w:r w:rsidR="00282552" w:rsidRPr="00282552">
        <w:rPr>
          <w:rFonts w:ascii="Arial" w:hAnsi="Arial" w:cs="Arial"/>
          <w:sz w:val="21"/>
          <w:szCs w:val="21"/>
        </w:rPr>
        <w:t>Th</w:t>
      </w:r>
      <w:r w:rsidR="00282552">
        <w:rPr>
          <w:rFonts w:ascii="Arial" w:hAnsi="Arial" w:cs="Arial"/>
          <w:sz w:val="21"/>
          <w:szCs w:val="21"/>
        </w:rPr>
        <w:t>is</w:t>
      </w:r>
      <w:r w:rsidR="00282552" w:rsidRPr="00282552">
        <w:rPr>
          <w:rFonts w:ascii="Arial" w:hAnsi="Arial" w:cs="Arial"/>
          <w:sz w:val="21"/>
          <w:szCs w:val="21"/>
        </w:rPr>
        <w:t xml:space="preserve"> investigational medication is designed to restore the natural balance of bacteria in the gut. There are certain bacteria that are thought to cause inflammation in the brain and nerves, possibly contributing to A</w:t>
      </w:r>
      <w:r w:rsidR="00282552">
        <w:rPr>
          <w:rFonts w:ascii="Arial" w:hAnsi="Arial" w:cs="Arial"/>
          <w:sz w:val="21"/>
          <w:szCs w:val="21"/>
        </w:rPr>
        <w:t>lzheimer’s disease</w:t>
      </w:r>
      <w:r w:rsidR="00282552" w:rsidRPr="00282552">
        <w:rPr>
          <w:rFonts w:ascii="Arial" w:hAnsi="Arial" w:cs="Arial"/>
          <w:sz w:val="21"/>
          <w:szCs w:val="21"/>
        </w:rPr>
        <w:t>.</w:t>
      </w:r>
      <w:r w:rsidR="00282552">
        <w:rPr>
          <w:rFonts w:ascii="Arial" w:hAnsi="Arial" w:cs="Arial"/>
          <w:sz w:val="21"/>
          <w:szCs w:val="21"/>
        </w:rPr>
        <w:t xml:space="preserve"> </w:t>
      </w:r>
    </w:p>
    <w:p w14:paraId="22A3DAAF" w14:textId="5FA37C85" w:rsidR="00A81776" w:rsidRDefault="00770217" w:rsidP="00082C86">
      <w:pPr>
        <w:ind w:firstLine="720"/>
        <w:contextualSpacing/>
        <w:rPr>
          <w:rFonts w:ascii="Arial" w:hAnsi="Arial" w:cs="Arial"/>
          <w:sz w:val="21"/>
          <w:szCs w:val="21"/>
        </w:rPr>
      </w:pPr>
      <w:r>
        <w:rPr>
          <w:rFonts w:ascii="Arial" w:hAnsi="Arial" w:cs="Arial"/>
          <w:sz w:val="21"/>
          <w:szCs w:val="21"/>
        </w:rPr>
        <w:t xml:space="preserve">An estimated 2,046 </w:t>
      </w:r>
      <w:r w:rsidR="00B906F4">
        <w:rPr>
          <w:rFonts w:ascii="Arial" w:hAnsi="Arial" w:cs="Arial"/>
          <w:sz w:val="21"/>
          <w:szCs w:val="21"/>
        </w:rPr>
        <w:t>participants</w:t>
      </w:r>
      <w:r w:rsidR="001344D3">
        <w:rPr>
          <w:rFonts w:ascii="Arial" w:hAnsi="Arial" w:cs="Arial"/>
          <w:sz w:val="21"/>
          <w:szCs w:val="21"/>
        </w:rPr>
        <w:t xml:space="preserve"> across </w:t>
      </w:r>
      <w:r w:rsidR="00967AF2">
        <w:rPr>
          <w:rFonts w:ascii="Arial" w:hAnsi="Arial" w:cs="Arial"/>
          <w:sz w:val="21"/>
          <w:szCs w:val="21"/>
        </w:rPr>
        <w:t xml:space="preserve">the </w:t>
      </w:r>
      <w:r w:rsidR="00F83BAF">
        <w:rPr>
          <w:rFonts w:ascii="Arial" w:hAnsi="Arial" w:cs="Arial"/>
          <w:sz w:val="21"/>
          <w:szCs w:val="21"/>
        </w:rPr>
        <w:t>US</w:t>
      </w:r>
      <w:r w:rsidR="00967AF2">
        <w:rPr>
          <w:rFonts w:ascii="Arial" w:hAnsi="Arial" w:cs="Arial"/>
          <w:sz w:val="21"/>
          <w:szCs w:val="21"/>
        </w:rPr>
        <w:t xml:space="preserve"> and Canada</w:t>
      </w:r>
      <w:r w:rsidR="00B906F4">
        <w:rPr>
          <w:rFonts w:ascii="Arial" w:hAnsi="Arial" w:cs="Arial"/>
          <w:sz w:val="21"/>
          <w:szCs w:val="21"/>
        </w:rPr>
        <w:t xml:space="preserve"> will be randomly assigned </w:t>
      </w:r>
      <w:r w:rsidR="00882347">
        <w:rPr>
          <w:rFonts w:ascii="Arial" w:hAnsi="Arial" w:cs="Arial"/>
          <w:sz w:val="21"/>
          <w:szCs w:val="21"/>
        </w:rPr>
        <w:t>at</w:t>
      </w:r>
      <w:r w:rsidR="00B906F4">
        <w:rPr>
          <w:rFonts w:ascii="Arial" w:hAnsi="Arial" w:cs="Arial"/>
          <w:sz w:val="21"/>
          <w:szCs w:val="21"/>
        </w:rPr>
        <w:t xml:space="preserve"> a</w:t>
      </w:r>
      <w:r w:rsidR="00882347">
        <w:rPr>
          <w:rFonts w:ascii="Arial" w:hAnsi="Arial" w:cs="Arial"/>
          <w:sz w:val="21"/>
          <w:szCs w:val="21"/>
        </w:rPr>
        <w:t xml:space="preserve"> </w:t>
      </w:r>
      <w:r w:rsidR="00B906F4">
        <w:rPr>
          <w:rFonts w:ascii="Arial" w:hAnsi="Arial" w:cs="Arial"/>
          <w:sz w:val="21"/>
          <w:szCs w:val="21"/>
        </w:rPr>
        <w:t xml:space="preserve">1:1 ratio to receive either 450mg of GV-971 or placebo </w:t>
      </w:r>
      <w:r w:rsidR="00D5511B">
        <w:rPr>
          <w:rFonts w:ascii="Arial" w:hAnsi="Arial" w:cs="Arial"/>
          <w:sz w:val="21"/>
          <w:szCs w:val="21"/>
        </w:rPr>
        <w:t>capsule</w:t>
      </w:r>
      <w:r w:rsidR="00F83BAF">
        <w:rPr>
          <w:rFonts w:ascii="Arial" w:hAnsi="Arial" w:cs="Arial"/>
          <w:sz w:val="21"/>
          <w:szCs w:val="21"/>
        </w:rPr>
        <w:t xml:space="preserve"> taken orally</w:t>
      </w:r>
      <w:r w:rsidR="001344D3">
        <w:rPr>
          <w:rFonts w:ascii="Arial" w:hAnsi="Arial" w:cs="Arial"/>
          <w:sz w:val="21"/>
          <w:szCs w:val="21"/>
        </w:rPr>
        <w:t xml:space="preserve"> </w:t>
      </w:r>
      <w:r w:rsidR="00B906F4">
        <w:rPr>
          <w:rFonts w:ascii="Arial" w:hAnsi="Arial" w:cs="Arial"/>
          <w:sz w:val="21"/>
          <w:szCs w:val="21"/>
        </w:rPr>
        <w:t xml:space="preserve">twice daily. </w:t>
      </w:r>
      <w:r w:rsidR="00B03C87">
        <w:rPr>
          <w:rFonts w:ascii="Arial" w:hAnsi="Arial" w:cs="Arial"/>
          <w:sz w:val="21"/>
          <w:szCs w:val="21"/>
        </w:rPr>
        <w:t>Subjects</w:t>
      </w:r>
      <w:r w:rsidR="00082C86" w:rsidRPr="00082C86">
        <w:rPr>
          <w:rFonts w:ascii="Arial" w:hAnsi="Arial" w:cs="Arial"/>
          <w:sz w:val="21"/>
          <w:szCs w:val="21"/>
        </w:rPr>
        <w:t xml:space="preserve"> who successfully complete the double-blind treatment period may continue in </w:t>
      </w:r>
      <w:r w:rsidR="0046618F">
        <w:rPr>
          <w:rFonts w:ascii="Arial" w:hAnsi="Arial" w:cs="Arial"/>
          <w:sz w:val="21"/>
          <w:szCs w:val="21"/>
        </w:rPr>
        <w:t>a</w:t>
      </w:r>
      <w:r w:rsidR="00082C86" w:rsidRPr="00082C86">
        <w:rPr>
          <w:rFonts w:ascii="Arial" w:hAnsi="Arial" w:cs="Arial"/>
          <w:sz w:val="21"/>
          <w:szCs w:val="21"/>
        </w:rPr>
        <w:t xml:space="preserve"> 26-week open-label extension (OLE)</w:t>
      </w:r>
      <w:r w:rsidR="00082C86">
        <w:rPr>
          <w:rFonts w:ascii="Arial" w:hAnsi="Arial" w:cs="Arial"/>
          <w:sz w:val="21"/>
          <w:szCs w:val="21"/>
        </w:rPr>
        <w:t>, meaning they would be guaranteed to receive the active study drug at that point.</w:t>
      </w:r>
    </w:p>
    <w:p w14:paraId="0489A601" w14:textId="77777777" w:rsidR="00082C86" w:rsidRDefault="00082C86" w:rsidP="00082C86">
      <w:pPr>
        <w:ind w:firstLine="720"/>
        <w:contextualSpacing/>
        <w:rPr>
          <w:rFonts w:ascii="Arial" w:hAnsi="Arial" w:cs="Arial"/>
          <w:sz w:val="21"/>
          <w:szCs w:val="21"/>
        </w:rPr>
      </w:pPr>
    </w:p>
    <w:p w14:paraId="10C60FEA" w14:textId="3595D9BF" w:rsidR="00054405" w:rsidRPr="00D7495D" w:rsidRDefault="00AE1570" w:rsidP="00BC67C9">
      <w:pPr>
        <w:contextualSpacing/>
        <w:rPr>
          <w:rFonts w:ascii="Arial" w:hAnsi="Arial" w:cs="Arial"/>
          <w:b/>
          <w:bCs/>
        </w:rPr>
      </w:pPr>
      <w:r w:rsidRPr="00D7495D">
        <w:rPr>
          <w:rFonts w:ascii="Arial" w:hAnsi="Arial" w:cs="Arial"/>
          <w:b/>
          <w:bCs/>
          <w:sz w:val="23"/>
          <w:szCs w:val="23"/>
        </w:rPr>
        <w:t>Category</w:t>
      </w:r>
      <w:r w:rsidR="00054405" w:rsidRPr="00D7495D">
        <w:rPr>
          <w:rFonts w:ascii="Arial" w:hAnsi="Arial" w:cs="Arial"/>
          <w:b/>
          <w:bCs/>
          <w:sz w:val="23"/>
          <w:szCs w:val="23"/>
        </w:rPr>
        <w:t>:</w:t>
      </w:r>
      <w:r w:rsidR="00054405">
        <w:rPr>
          <w:rFonts w:ascii="Arial" w:hAnsi="Arial" w:cs="Arial"/>
          <w:b/>
          <w:bCs/>
          <w:sz w:val="24"/>
          <w:szCs w:val="24"/>
        </w:rPr>
        <w:t xml:space="preserve"> </w:t>
      </w:r>
      <w:r w:rsidR="00054405" w:rsidRPr="00D7495D">
        <w:rPr>
          <w:rFonts w:ascii="Arial" w:hAnsi="Arial" w:cs="Arial"/>
          <w:sz w:val="21"/>
          <w:szCs w:val="21"/>
        </w:rPr>
        <w:t>Alzheimer’s Disease Research</w:t>
      </w:r>
    </w:p>
    <w:p w14:paraId="50CF5651" w14:textId="77777777" w:rsidR="00432AC2" w:rsidRDefault="00432AC2" w:rsidP="00432AC2">
      <w:pPr>
        <w:contextualSpacing/>
        <w:rPr>
          <w:rFonts w:ascii="Arial" w:hAnsi="Arial" w:cs="Arial"/>
          <w:b/>
          <w:bCs/>
          <w:sz w:val="24"/>
          <w:szCs w:val="24"/>
        </w:rPr>
      </w:pPr>
    </w:p>
    <w:p w14:paraId="7016B923" w14:textId="19B5AF6C" w:rsidR="00B121C9" w:rsidRPr="00D53AA5" w:rsidRDefault="00B121C9" w:rsidP="00432AC2">
      <w:pPr>
        <w:contextualSpacing/>
        <w:rPr>
          <w:rFonts w:ascii="Arial" w:hAnsi="Arial" w:cs="Arial"/>
          <w:sz w:val="21"/>
          <w:szCs w:val="21"/>
        </w:rPr>
      </w:pPr>
      <w:r w:rsidRPr="00D7495D">
        <w:rPr>
          <w:rFonts w:ascii="Arial" w:hAnsi="Arial" w:cs="Arial"/>
          <w:b/>
          <w:bCs/>
          <w:sz w:val="23"/>
          <w:szCs w:val="23"/>
        </w:rPr>
        <w:t>Study Population</w:t>
      </w:r>
      <w:r w:rsidR="0017356A" w:rsidRPr="00D7495D">
        <w:rPr>
          <w:rFonts w:ascii="Arial" w:hAnsi="Arial" w:cs="Arial"/>
          <w:b/>
          <w:bCs/>
          <w:sz w:val="23"/>
          <w:szCs w:val="23"/>
        </w:rPr>
        <w:t>:</w:t>
      </w:r>
      <w:r w:rsidR="0017356A">
        <w:rPr>
          <w:rFonts w:ascii="Arial" w:hAnsi="Arial" w:cs="Arial"/>
          <w:b/>
          <w:bCs/>
          <w:sz w:val="24"/>
          <w:szCs w:val="24"/>
        </w:rPr>
        <w:t xml:space="preserve"> </w:t>
      </w:r>
      <w:r w:rsidR="00D53AA5">
        <w:rPr>
          <w:rFonts w:ascii="Arial" w:hAnsi="Arial" w:cs="Arial"/>
          <w:sz w:val="21"/>
          <w:szCs w:val="21"/>
        </w:rPr>
        <w:t>Individuals with Mild to Moderate Alzheimer’s disease</w:t>
      </w:r>
    </w:p>
    <w:p w14:paraId="1007D447" w14:textId="17676982" w:rsidR="00D82F2D" w:rsidRDefault="00D82F2D" w:rsidP="00432AC2">
      <w:pPr>
        <w:contextualSpacing/>
        <w:rPr>
          <w:rFonts w:ascii="Arial" w:hAnsi="Arial" w:cs="Arial"/>
        </w:rPr>
      </w:pPr>
    </w:p>
    <w:p w14:paraId="75475F2A" w14:textId="5BB48BCB" w:rsidR="00D82F2D" w:rsidRPr="00AE1570" w:rsidRDefault="00AB1E98" w:rsidP="00432AC2">
      <w:pPr>
        <w:contextualSpacing/>
        <w:rPr>
          <w:rFonts w:ascii="Arial" w:hAnsi="Arial" w:cs="Arial"/>
          <w:b/>
          <w:bCs/>
          <w:sz w:val="24"/>
          <w:szCs w:val="24"/>
        </w:rPr>
      </w:pPr>
      <w:r>
        <w:rPr>
          <w:rFonts w:ascii="Arial" w:hAnsi="Arial" w:cs="Arial"/>
          <w:b/>
          <w:bCs/>
          <w:sz w:val="23"/>
          <w:szCs w:val="23"/>
        </w:rPr>
        <w:t>Study Length</w:t>
      </w:r>
      <w:r w:rsidR="00D82F2D" w:rsidRPr="00D7495D">
        <w:rPr>
          <w:rFonts w:ascii="Arial" w:hAnsi="Arial" w:cs="Arial"/>
          <w:b/>
          <w:bCs/>
          <w:sz w:val="23"/>
          <w:szCs w:val="23"/>
        </w:rPr>
        <w:t>:</w:t>
      </w:r>
      <w:r w:rsidR="00D82F2D">
        <w:rPr>
          <w:rFonts w:ascii="Arial" w:hAnsi="Arial" w:cs="Arial"/>
        </w:rPr>
        <w:t xml:space="preserve"> </w:t>
      </w:r>
      <w:proofErr w:type="gramStart"/>
      <w:r w:rsidR="008E6067">
        <w:rPr>
          <w:rFonts w:ascii="Arial" w:hAnsi="Arial" w:cs="Arial"/>
        </w:rPr>
        <w:t>52 week</w:t>
      </w:r>
      <w:proofErr w:type="gramEnd"/>
      <w:r w:rsidR="008E6067">
        <w:rPr>
          <w:rFonts w:ascii="Arial" w:hAnsi="Arial" w:cs="Arial"/>
        </w:rPr>
        <w:t xml:space="preserve"> treatment period with visits every 6 weeks, </w:t>
      </w:r>
      <w:r w:rsidR="007F665A">
        <w:rPr>
          <w:rFonts w:ascii="Arial" w:hAnsi="Arial" w:cs="Arial"/>
        </w:rPr>
        <w:t>followed by 26 week open-label extension</w:t>
      </w:r>
    </w:p>
    <w:p w14:paraId="292BF5F4" w14:textId="77777777" w:rsidR="00054405" w:rsidRDefault="00054405" w:rsidP="00432AC2">
      <w:pPr>
        <w:contextualSpacing/>
        <w:rPr>
          <w:rFonts w:ascii="Arial" w:hAnsi="Arial" w:cs="Arial"/>
          <w:b/>
          <w:bCs/>
          <w:sz w:val="24"/>
          <w:szCs w:val="24"/>
        </w:rPr>
      </w:pPr>
    </w:p>
    <w:p w14:paraId="24D4D5FC" w14:textId="513EBDAA" w:rsidR="00B121C9" w:rsidRPr="00D7495D" w:rsidRDefault="00B121C9" w:rsidP="00955D03">
      <w:pPr>
        <w:contextualSpacing/>
        <w:rPr>
          <w:rFonts w:ascii="Arial" w:hAnsi="Arial" w:cs="Arial"/>
          <w:b/>
          <w:bCs/>
          <w:sz w:val="23"/>
          <w:szCs w:val="23"/>
        </w:rPr>
      </w:pPr>
      <w:r w:rsidRPr="00D7495D">
        <w:rPr>
          <w:rFonts w:ascii="Arial" w:hAnsi="Arial" w:cs="Arial"/>
          <w:b/>
          <w:bCs/>
          <w:sz w:val="23"/>
          <w:szCs w:val="23"/>
        </w:rPr>
        <w:t>Requirements</w:t>
      </w:r>
      <w:r w:rsidR="00752DFF">
        <w:rPr>
          <w:rFonts w:ascii="Arial" w:hAnsi="Arial" w:cs="Arial"/>
          <w:b/>
          <w:bCs/>
          <w:sz w:val="23"/>
          <w:szCs w:val="23"/>
        </w:rPr>
        <w:t>:</w:t>
      </w:r>
    </w:p>
    <w:p w14:paraId="5FACB379" w14:textId="1E3FCAA8" w:rsidR="00054405" w:rsidRDefault="00955D03" w:rsidP="00955D03">
      <w:pPr>
        <w:pStyle w:val="ListParagraph"/>
        <w:numPr>
          <w:ilvl w:val="0"/>
          <w:numId w:val="1"/>
        </w:numPr>
        <w:rPr>
          <w:rFonts w:ascii="Arial" w:hAnsi="Arial" w:cs="Arial"/>
          <w:sz w:val="21"/>
          <w:szCs w:val="21"/>
        </w:rPr>
      </w:pPr>
      <w:r>
        <w:rPr>
          <w:rFonts w:ascii="Arial" w:hAnsi="Arial" w:cs="Arial"/>
          <w:sz w:val="21"/>
          <w:szCs w:val="21"/>
        </w:rPr>
        <w:t>Adults</w:t>
      </w:r>
      <w:r w:rsidR="00CA60D0">
        <w:rPr>
          <w:rFonts w:ascii="Arial" w:hAnsi="Arial" w:cs="Arial"/>
          <w:sz w:val="21"/>
          <w:szCs w:val="21"/>
        </w:rPr>
        <w:t xml:space="preserve"> 5</w:t>
      </w:r>
      <w:r w:rsidR="0049327C">
        <w:rPr>
          <w:rFonts w:ascii="Arial" w:hAnsi="Arial" w:cs="Arial"/>
          <w:sz w:val="21"/>
          <w:szCs w:val="21"/>
        </w:rPr>
        <w:t>0-85</w:t>
      </w:r>
      <w:r w:rsidR="00CA60D0">
        <w:rPr>
          <w:rFonts w:ascii="Arial" w:hAnsi="Arial" w:cs="Arial"/>
          <w:sz w:val="21"/>
          <w:szCs w:val="21"/>
        </w:rPr>
        <w:t xml:space="preserve"> years old</w:t>
      </w:r>
      <w:r w:rsidR="007C1245">
        <w:rPr>
          <w:rFonts w:ascii="Arial" w:hAnsi="Arial" w:cs="Arial"/>
          <w:sz w:val="21"/>
          <w:szCs w:val="21"/>
        </w:rPr>
        <w:t xml:space="preserve"> </w:t>
      </w:r>
    </w:p>
    <w:p w14:paraId="59DD0D8F" w14:textId="4857F3B3" w:rsidR="009048E3" w:rsidRDefault="0078580E" w:rsidP="00D7495D">
      <w:pPr>
        <w:pStyle w:val="ListParagraph"/>
        <w:numPr>
          <w:ilvl w:val="0"/>
          <w:numId w:val="1"/>
        </w:numPr>
        <w:rPr>
          <w:rFonts w:ascii="Arial" w:hAnsi="Arial" w:cs="Arial"/>
          <w:sz w:val="21"/>
          <w:szCs w:val="21"/>
        </w:rPr>
      </w:pPr>
      <w:r>
        <w:rPr>
          <w:rFonts w:ascii="Arial" w:hAnsi="Arial" w:cs="Arial"/>
          <w:sz w:val="21"/>
          <w:szCs w:val="21"/>
        </w:rPr>
        <w:t>Must meet criteria for Mild to Moderate Alzheimer’s disease, confirmed during screening process for the trial</w:t>
      </w:r>
      <w:r w:rsidR="0046618F">
        <w:rPr>
          <w:rFonts w:ascii="Arial" w:hAnsi="Arial" w:cs="Arial"/>
          <w:sz w:val="21"/>
          <w:szCs w:val="21"/>
        </w:rPr>
        <w:t xml:space="preserve"> (prior diagnosis not required)</w:t>
      </w:r>
    </w:p>
    <w:p w14:paraId="27AF000B" w14:textId="666E4ABE" w:rsidR="002D3603" w:rsidRDefault="009B2B7E" w:rsidP="00D7495D">
      <w:pPr>
        <w:pStyle w:val="ListParagraph"/>
        <w:numPr>
          <w:ilvl w:val="0"/>
          <w:numId w:val="1"/>
        </w:numPr>
        <w:rPr>
          <w:rFonts w:ascii="Arial" w:hAnsi="Arial" w:cs="Arial"/>
          <w:sz w:val="21"/>
          <w:szCs w:val="21"/>
        </w:rPr>
      </w:pPr>
      <w:r>
        <w:rPr>
          <w:rFonts w:ascii="Arial" w:hAnsi="Arial" w:cs="Arial"/>
          <w:sz w:val="21"/>
          <w:szCs w:val="21"/>
        </w:rPr>
        <w:t>Individuals</w:t>
      </w:r>
      <w:r w:rsidR="00DC4261">
        <w:rPr>
          <w:rFonts w:ascii="Arial" w:hAnsi="Arial" w:cs="Arial"/>
          <w:sz w:val="21"/>
          <w:szCs w:val="21"/>
        </w:rPr>
        <w:t xml:space="preserve"> currently taking memory medications</w:t>
      </w:r>
      <w:r>
        <w:rPr>
          <w:rFonts w:ascii="Arial" w:hAnsi="Arial" w:cs="Arial"/>
          <w:sz w:val="21"/>
          <w:szCs w:val="21"/>
        </w:rPr>
        <w:t xml:space="preserve"> (Aricept, Exelon, Namenda, etc.) will </w:t>
      </w:r>
      <w:r w:rsidR="00ED1383">
        <w:rPr>
          <w:rFonts w:ascii="Arial" w:hAnsi="Arial" w:cs="Arial"/>
          <w:sz w:val="21"/>
          <w:szCs w:val="21"/>
        </w:rPr>
        <w:t xml:space="preserve">be required to stop </w:t>
      </w:r>
      <w:r w:rsidR="00133FAB">
        <w:rPr>
          <w:rFonts w:ascii="Arial" w:hAnsi="Arial" w:cs="Arial"/>
          <w:sz w:val="21"/>
          <w:szCs w:val="21"/>
        </w:rPr>
        <w:t>use while enrolled in the study.</w:t>
      </w:r>
    </w:p>
    <w:p w14:paraId="42D1DC55" w14:textId="38E864BF" w:rsidR="001C28F4" w:rsidRDefault="001C28F4" w:rsidP="001C28F4">
      <w:pPr>
        <w:pStyle w:val="ListParagraph"/>
        <w:numPr>
          <w:ilvl w:val="0"/>
          <w:numId w:val="1"/>
        </w:numPr>
        <w:rPr>
          <w:rFonts w:ascii="Arial" w:hAnsi="Arial" w:cs="Arial"/>
          <w:sz w:val="21"/>
          <w:szCs w:val="21"/>
        </w:rPr>
      </w:pPr>
      <w:r w:rsidRPr="00D7495D">
        <w:rPr>
          <w:rFonts w:ascii="Arial" w:hAnsi="Arial" w:cs="Arial"/>
          <w:sz w:val="21"/>
          <w:szCs w:val="21"/>
        </w:rPr>
        <w:t xml:space="preserve">A study partner (family member, close friend, caregiver) who has </w:t>
      </w:r>
      <w:r w:rsidR="007955CD">
        <w:rPr>
          <w:rFonts w:ascii="Arial" w:hAnsi="Arial" w:cs="Arial"/>
          <w:sz w:val="21"/>
          <w:szCs w:val="21"/>
        </w:rPr>
        <w:t>known the participant for at least 1 year</w:t>
      </w:r>
      <w:r w:rsidR="000007A5">
        <w:rPr>
          <w:rFonts w:ascii="Arial" w:hAnsi="Arial" w:cs="Arial"/>
          <w:sz w:val="21"/>
          <w:szCs w:val="21"/>
        </w:rPr>
        <w:t xml:space="preserve">, </w:t>
      </w:r>
      <w:r w:rsidR="007955CD">
        <w:rPr>
          <w:rFonts w:ascii="Arial" w:hAnsi="Arial" w:cs="Arial"/>
          <w:sz w:val="21"/>
          <w:szCs w:val="21"/>
        </w:rPr>
        <w:t>assists the participant regularly</w:t>
      </w:r>
      <w:r w:rsidR="000007A5">
        <w:rPr>
          <w:rFonts w:ascii="Arial" w:hAnsi="Arial" w:cs="Arial"/>
          <w:sz w:val="21"/>
          <w:szCs w:val="21"/>
        </w:rPr>
        <w:t xml:space="preserve"> at least 3 times per week,</w:t>
      </w:r>
      <w:r w:rsidRPr="00D7495D">
        <w:rPr>
          <w:rFonts w:ascii="Arial" w:hAnsi="Arial" w:cs="Arial"/>
          <w:sz w:val="21"/>
          <w:szCs w:val="21"/>
        </w:rPr>
        <w:t xml:space="preserve"> </w:t>
      </w:r>
      <w:r w:rsidR="000007A5">
        <w:rPr>
          <w:rFonts w:ascii="Arial" w:hAnsi="Arial" w:cs="Arial"/>
          <w:sz w:val="21"/>
          <w:szCs w:val="21"/>
        </w:rPr>
        <w:t>has knowledge of his</w:t>
      </w:r>
      <w:r w:rsidR="006C1B88">
        <w:rPr>
          <w:rFonts w:ascii="Arial" w:hAnsi="Arial" w:cs="Arial"/>
          <w:sz w:val="21"/>
          <w:szCs w:val="21"/>
        </w:rPr>
        <w:t xml:space="preserve">/ </w:t>
      </w:r>
      <w:r w:rsidR="000007A5">
        <w:rPr>
          <w:rFonts w:ascii="Arial" w:hAnsi="Arial" w:cs="Arial"/>
          <w:sz w:val="21"/>
          <w:szCs w:val="21"/>
        </w:rPr>
        <w:t xml:space="preserve">her cognitive and functional states, and </w:t>
      </w:r>
      <w:r w:rsidRPr="00D7495D">
        <w:rPr>
          <w:rFonts w:ascii="Arial" w:hAnsi="Arial" w:cs="Arial"/>
          <w:sz w:val="21"/>
          <w:szCs w:val="21"/>
        </w:rPr>
        <w:t xml:space="preserve">can accompany him/her to </w:t>
      </w:r>
      <w:r w:rsidR="00155331">
        <w:rPr>
          <w:rFonts w:ascii="Arial" w:hAnsi="Arial" w:cs="Arial"/>
          <w:sz w:val="21"/>
          <w:szCs w:val="21"/>
        </w:rPr>
        <w:t>all</w:t>
      </w:r>
      <w:r w:rsidRPr="00D7495D">
        <w:rPr>
          <w:rFonts w:ascii="Arial" w:hAnsi="Arial" w:cs="Arial"/>
          <w:sz w:val="21"/>
          <w:szCs w:val="21"/>
        </w:rPr>
        <w:t xml:space="preserve"> study visits is required.</w:t>
      </w:r>
    </w:p>
    <w:p w14:paraId="3DA446E7" w14:textId="77777777" w:rsidR="00CA685B" w:rsidRPr="006F74E7" w:rsidRDefault="00CA685B" w:rsidP="00CA685B">
      <w:pPr>
        <w:pStyle w:val="ListParagraph"/>
        <w:numPr>
          <w:ilvl w:val="0"/>
          <w:numId w:val="1"/>
        </w:numPr>
        <w:rPr>
          <w:rFonts w:ascii="Arial" w:hAnsi="Arial" w:cs="Arial"/>
          <w:sz w:val="21"/>
          <w:szCs w:val="21"/>
        </w:rPr>
      </w:pPr>
      <w:r>
        <w:rPr>
          <w:rFonts w:ascii="Arial" w:hAnsi="Arial" w:cs="Arial"/>
          <w:sz w:val="21"/>
          <w:szCs w:val="21"/>
        </w:rPr>
        <w:lastRenderedPageBreak/>
        <w:t>Must sign</w:t>
      </w:r>
      <w:r w:rsidRPr="006F74E7">
        <w:rPr>
          <w:rFonts w:ascii="Arial" w:hAnsi="Arial" w:cs="Arial"/>
          <w:sz w:val="21"/>
          <w:szCs w:val="21"/>
        </w:rPr>
        <w:t xml:space="preserve"> an </w:t>
      </w:r>
      <w:r>
        <w:rPr>
          <w:rFonts w:ascii="Arial" w:hAnsi="Arial" w:cs="Arial"/>
          <w:sz w:val="21"/>
          <w:szCs w:val="21"/>
        </w:rPr>
        <w:t>informed consent document</w:t>
      </w:r>
      <w:r w:rsidRPr="006F74E7">
        <w:rPr>
          <w:rFonts w:ascii="Arial" w:hAnsi="Arial" w:cs="Arial"/>
          <w:sz w:val="21"/>
          <w:szCs w:val="21"/>
        </w:rPr>
        <w:t xml:space="preserve"> indicating that he or she understands the purpose of</w:t>
      </w:r>
      <w:r>
        <w:rPr>
          <w:rFonts w:ascii="Arial" w:hAnsi="Arial" w:cs="Arial"/>
          <w:sz w:val="21"/>
          <w:szCs w:val="21"/>
        </w:rPr>
        <w:t xml:space="preserve"> the study, procedures required, </w:t>
      </w:r>
      <w:r w:rsidRPr="006F74E7">
        <w:rPr>
          <w:rFonts w:ascii="Arial" w:hAnsi="Arial" w:cs="Arial"/>
          <w:sz w:val="21"/>
          <w:szCs w:val="21"/>
        </w:rPr>
        <w:t>and is willing to participate in the study</w:t>
      </w:r>
      <w:r>
        <w:rPr>
          <w:rFonts w:ascii="Arial" w:hAnsi="Arial" w:cs="Arial"/>
          <w:sz w:val="21"/>
          <w:szCs w:val="21"/>
        </w:rPr>
        <w:t xml:space="preserve">. A legally authorized representative will be required to sign on the patient’s behalf if the subject is determined to not possess decision capacity. </w:t>
      </w:r>
    </w:p>
    <w:p w14:paraId="18183B62" w14:textId="6EFF02AA" w:rsidR="00B121C9" w:rsidRPr="00D7495D" w:rsidRDefault="00B121C9" w:rsidP="00E012CC">
      <w:pPr>
        <w:contextualSpacing/>
        <w:rPr>
          <w:rFonts w:ascii="Arial" w:hAnsi="Arial" w:cs="Arial"/>
          <w:b/>
          <w:bCs/>
          <w:sz w:val="23"/>
          <w:szCs w:val="23"/>
        </w:rPr>
      </w:pPr>
      <w:r w:rsidRPr="00D7495D">
        <w:rPr>
          <w:rFonts w:ascii="Arial" w:hAnsi="Arial" w:cs="Arial"/>
          <w:b/>
          <w:bCs/>
          <w:sz w:val="23"/>
          <w:szCs w:val="23"/>
        </w:rPr>
        <w:t>Benefits</w:t>
      </w:r>
      <w:r w:rsidR="00752DFF">
        <w:rPr>
          <w:rFonts w:ascii="Arial" w:hAnsi="Arial" w:cs="Arial"/>
          <w:b/>
          <w:bCs/>
          <w:sz w:val="23"/>
          <w:szCs w:val="23"/>
        </w:rPr>
        <w:t>:</w:t>
      </w:r>
    </w:p>
    <w:p w14:paraId="73A6DB78" w14:textId="02A62E13" w:rsidR="003E4D5D" w:rsidRDefault="004B4DDE" w:rsidP="00443D74">
      <w:pPr>
        <w:contextualSpacing/>
        <w:rPr>
          <w:rFonts w:ascii="Arial" w:hAnsi="Arial" w:cs="Arial"/>
          <w:sz w:val="21"/>
          <w:szCs w:val="21"/>
        </w:rPr>
      </w:pPr>
      <w:r w:rsidRPr="004B4DDE">
        <w:rPr>
          <w:rFonts w:ascii="Arial" w:hAnsi="Arial" w:cs="Arial"/>
          <w:sz w:val="21"/>
          <w:szCs w:val="21"/>
        </w:rPr>
        <w:t>There is no promise that you will receive any benefit from taking part in this study. Your participation in the study may help improve your Alzheimer’s Disease (AD) symptoms if you receive the study drug, but this is not guaranteed. Although you may not directly benefit from taking part in this study, the information and data from this study can be valuable in treating patients with AD in the future.</w:t>
      </w:r>
    </w:p>
    <w:p w14:paraId="3C422E00" w14:textId="77777777" w:rsidR="004B4DDE" w:rsidRDefault="004B4DDE" w:rsidP="00443D74">
      <w:pPr>
        <w:contextualSpacing/>
        <w:rPr>
          <w:rFonts w:ascii="Arial" w:hAnsi="Arial" w:cs="Arial"/>
          <w:b/>
          <w:bCs/>
          <w:sz w:val="24"/>
          <w:szCs w:val="24"/>
        </w:rPr>
      </w:pPr>
    </w:p>
    <w:p w14:paraId="625632E2" w14:textId="481620C7" w:rsidR="00B121C9" w:rsidRPr="00D7495D" w:rsidRDefault="00B121C9" w:rsidP="00443D74">
      <w:pPr>
        <w:contextualSpacing/>
        <w:rPr>
          <w:rFonts w:ascii="Arial" w:hAnsi="Arial" w:cs="Arial"/>
          <w:b/>
          <w:bCs/>
          <w:sz w:val="23"/>
          <w:szCs w:val="23"/>
        </w:rPr>
      </w:pPr>
      <w:r w:rsidRPr="00D7495D">
        <w:rPr>
          <w:rFonts w:ascii="Arial" w:hAnsi="Arial" w:cs="Arial"/>
          <w:b/>
          <w:bCs/>
          <w:sz w:val="23"/>
          <w:szCs w:val="23"/>
        </w:rPr>
        <w:t>Contact Information</w:t>
      </w:r>
      <w:r w:rsidR="00752DFF">
        <w:rPr>
          <w:rFonts w:ascii="Arial" w:hAnsi="Arial" w:cs="Arial"/>
          <w:b/>
          <w:bCs/>
          <w:sz w:val="23"/>
          <w:szCs w:val="23"/>
        </w:rPr>
        <w:t>:</w:t>
      </w:r>
    </w:p>
    <w:p w14:paraId="25A2C4B4" w14:textId="7ED61473" w:rsidR="00B121C9" w:rsidRPr="00D7495D" w:rsidRDefault="00555284" w:rsidP="00443D74">
      <w:pPr>
        <w:contextualSpacing/>
        <w:rPr>
          <w:rFonts w:ascii="Arial" w:hAnsi="Arial" w:cs="Arial"/>
          <w:sz w:val="21"/>
          <w:szCs w:val="21"/>
        </w:rPr>
      </w:pPr>
      <w:r w:rsidRPr="00D7495D">
        <w:rPr>
          <w:rFonts w:ascii="Arial" w:hAnsi="Arial" w:cs="Arial"/>
          <w:sz w:val="21"/>
          <w:szCs w:val="21"/>
        </w:rPr>
        <w:t xml:space="preserve">Allison Acree, Lead Recruitment Coordinator – (843) </w:t>
      </w:r>
      <w:r w:rsidR="0007445F" w:rsidRPr="00D7495D">
        <w:rPr>
          <w:rFonts w:ascii="Arial" w:hAnsi="Arial" w:cs="Arial"/>
          <w:sz w:val="21"/>
          <w:szCs w:val="21"/>
        </w:rPr>
        <w:t>608-1950 xt.1109</w:t>
      </w:r>
    </w:p>
    <w:p w14:paraId="3209AE6A" w14:textId="70F78B08" w:rsidR="00555284" w:rsidRPr="00D7495D" w:rsidRDefault="00555284" w:rsidP="00443D74">
      <w:pPr>
        <w:contextualSpacing/>
        <w:rPr>
          <w:rFonts w:ascii="Arial" w:hAnsi="Arial" w:cs="Arial"/>
          <w:sz w:val="21"/>
          <w:szCs w:val="21"/>
        </w:rPr>
      </w:pPr>
      <w:r w:rsidRPr="00D7495D">
        <w:rPr>
          <w:rFonts w:ascii="Arial" w:hAnsi="Arial" w:cs="Arial"/>
          <w:sz w:val="21"/>
          <w:szCs w:val="21"/>
        </w:rPr>
        <w:t>Codi Cammer</w:t>
      </w:r>
      <w:r w:rsidR="0007445F" w:rsidRPr="00D7495D">
        <w:rPr>
          <w:rFonts w:ascii="Arial" w:hAnsi="Arial" w:cs="Arial"/>
          <w:sz w:val="21"/>
          <w:szCs w:val="21"/>
        </w:rPr>
        <w:t>, Recruitment Coordinator – (843) 608-1950 xt.</w:t>
      </w:r>
      <w:r w:rsidR="00A77550" w:rsidRPr="00D7495D">
        <w:rPr>
          <w:rFonts w:ascii="Arial" w:hAnsi="Arial" w:cs="Arial"/>
          <w:sz w:val="21"/>
          <w:szCs w:val="21"/>
        </w:rPr>
        <w:t>1110</w:t>
      </w:r>
    </w:p>
    <w:p w14:paraId="7B3EA81C" w14:textId="639D9E1A" w:rsidR="00A77550" w:rsidRPr="00D7495D" w:rsidRDefault="00A77550" w:rsidP="00443D74">
      <w:pPr>
        <w:contextualSpacing/>
        <w:rPr>
          <w:rFonts w:ascii="Arial" w:hAnsi="Arial" w:cs="Arial"/>
          <w:sz w:val="21"/>
          <w:szCs w:val="21"/>
        </w:rPr>
      </w:pPr>
      <w:r w:rsidRPr="00D7495D">
        <w:rPr>
          <w:rFonts w:ascii="Arial" w:hAnsi="Arial" w:cs="Arial"/>
          <w:sz w:val="21"/>
          <w:szCs w:val="21"/>
        </w:rPr>
        <w:t>Dr. Jacobo Mintzer</w:t>
      </w:r>
      <w:r w:rsidR="00AE1570" w:rsidRPr="00D7495D">
        <w:rPr>
          <w:rFonts w:ascii="Arial" w:hAnsi="Arial" w:cs="Arial"/>
          <w:sz w:val="21"/>
          <w:szCs w:val="21"/>
        </w:rPr>
        <w:t>, Principal Investigator</w:t>
      </w:r>
      <w:r w:rsidRPr="00D7495D">
        <w:rPr>
          <w:rFonts w:ascii="Arial" w:hAnsi="Arial" w:cs="Arial"/>
          <w:sz w:val="21"/>
          <w:szCs w:val="21"/>
        </w:rPr>
        <w:t xml:space="preserve"> – (843) 608-1950 xt.1</w:t>
      </w:r>
      <w:r w:rsidR="00AE1570" w:rsidRPr="00D7495D">
        <w:rPr>
          <w:rFonts w:ascii="Arial" w:hAnsi="Arial" w:cs="Arial"/>
          <w:sz w:val="21"/>
          <w:szCs w:val="21"/>
        </w:rPr>
        <w:t>101</w:t>
      </w:r>
    </w:p>
    <w:sectPr w:rsidR="00A77550" w:rsidRPr="00D749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43D2" w14:textId="77777777" w:rsidR="0085306F" w:rsidRDefault="0085306F" w:rsidP="00C25184">
      <w:pPr>
        <w:spacing w:after="0" w:line="240" w:lineRule="auto"/>
      </w:pPr>
      <w:r>
        <w:separator/>
      </w:r>
    </w:p>
  </w:endnote>
  <w:endnote w:type="continuationSeparator" w:id="0">
    <w:p w14:paraId="27E196C3" w14:textId="77777777" w:rsidR="0085306F" w:rsidRDefault="0085306F" w:rsidP="00C2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DDCB" w14:textId="319D9B0D" w:rsidR="00854EE8" w:rsidRPr="004F7D60" w:rsidRDefault="00854EE8" w:rsidP="00B37D09">
    <w:pPr>
      <w:spacing w:after="0" w:line="240" w:lineRule="auto"/>
      <w:rPr>
        <w:rFonts w:ascii="Arial" w:hAnsi="Arial" w:cs="Arial"/>
        <w:sz w:val="18"/>
        <w:szCs w:val="18"/>
      </w:rPr>
    </w:pPr>
    <w:r w:rsidRPr="004F7D60">
      <w:rPr>
        <w:rFonts w:ascii="Arial" w:hAnsi="Arial" w:cs="Arial"/>
        <w:sz w:val="16"/>
        <w:szCs w:val="16"/>
      </w:rPr>
      <w:t xml:space="preserve">22 </w:t>
    </w:r>
    <w:proofErr w:type="spellStart"/>
    <w:r w:rsidRPr="004F7D60">
      <w:rPr>
        <w:rFonts w:ascii="Arial" w:hAnsi="Arial" w:cs="Arial"/>
        <w:sz w:val="16"/>
        <w:szCs w:val="16"/>
      </w:rPr>
      <w:t>Westedge</w:t>
    </w:r>
    <w:proofErr w:type="spellEnd"/>
    <w:r w:rsidRPr="004F7D60">
      <w:rPr>
        <w:rFonts w:ascii="Arial" w:hAnsi="Arial" w:cs="Arial"/>
        <w:sz w:val="16"/>
        <w:szCs w:val="16"/>
      </w:rPr>
      <w:t xml:space="preserve"> Street, Suite 410</w:t>
    </w:r>
    <w:r w:rsidR="004557FD" w:rsidRPr="004F7D60">
      <w:rPr>
        <w:rFonts w:ascii="Arial" w:hAnsi="Arial" w:cs="Arial"/>
        <w:sz w:val="16"/>
        <w:szCs w:val="16"/>
      </w:rPr>
      <w:t>,</w:t>
    </w:r>
    <w:r w:rsidR="00B37D09" w:rsidRPr="004F7D60">
      <w:rPr>
        <w:rFonts w:ascii="Arial" w:hAnsi="Arial" w:cs="Arial"/>
        <w:sz w:val="16"/>
        <w:szCs w:val="16"/>
      </w:rPr>
      <w:t xml:space="preserve"> </w:t>
    </w:r>
    <w:r w:rsidRPr="004F7D60">
      <w:rPr>
        <w:rFonts w:ascii="Arial" w:hAnsi="Arial" w:cs="Arial"/>
        <w:sz w:val="16"/>
        <w:szCs w:val="16"/>
      </w:rPr>
      <w:t>Charleston, SC 29403</w:t>
    </w:r>
    <w:r w:rsidR="004557FD" w:rsidRPr="004F7D60">
      <w:rPr>
        <w:rFonts w:ascii="Arial" w:hAnsi="Arial" w:cs="Arial"/>
      </w:rPr>
      <w:t xml:space="preserve"> </w:t>
    </w:r>
    <w:r w:rsidR="005C2332" w:rsidRPr="004F7D60">
      <w:rPr>
        <w:rFonts w:ascii="Arial" w:hAnsi="Arial" w:cs="Arial"/>
        <w:b/>
        <w:bCs/>
      </w:rPr>
      <w:t>‖</w:t>
    </w:r>
    <w:r w:rsidR="00B37D09" w:rsidRPr="004F7D60">
      <w:rPr>
        <w:rFonts w:ascii="Arial" w:hAnsi="Arial" w:cs="Arial"/>
        <w:b/>
        <w:sz w:val="18"/>
        <w:szCs w:val="18"/>
      </w:rPr>
      <w:t xml:space="preserve"> </w:t>
    </w:r>
    <w:r w:rsidR="004557FD" w:rsidRPr="004F7D60">
      <w:rPr>
        <w:rFonts w:ascii="Arial" w:hAnsi="Arial" w:cs="Arial"/>
        <w:sz w:val="16"/>
        <w:szCs w:val="16"/>
      </w:rPr>
      <w:t>Tel</w:t>
    </w:r>
    <w:r w:rsidRPr="004F7D60">
      <w:rPr>
        <w:rFonts w:ascii="Arial" w:hAnsi="Arial" w:cs="Arial"/>
        <w:sz w:val="16"/>
        <w:szCs w:val="16"/>
      </w:rPr>
      <w:t>: (843) 608-1950</w:t>
    </w:r>
    <w:r w:rsidR="00B37D09" w:rsidRPr="004F7D60">
      <w:rPr>
        <w:rFonts w:ascii="Arial" w:hAnsi="Arial" w:cs="Arial"/>
        <w:sz w:val="18"/>
        <w:szCs w:val="18"/>
      </w:rPr>
      <w:t xml:space="preserve"> </w:t>
    </w:r>
    <w:r w:rsidR="005C2332" w:rsidRPr="004F7D60">
      <w:rPr>
        <w:rFonts w:ascii="Arial" w:hAnsi="Arial" w:cs="Arial"/>
        <w:b/>
        <w:bCs/>
      </w:rPr>
      <w:t>‖</w:t>
    </w:r>
    <w:r w:rsidR="005C2332" w:rsidRPr="004F7D60">
      <w:rPr>
        <w:rFonts w:ascii="Arial" w:hAnsi="Arial" w:cs="Arial"/>
        <w:sz w:val="18"/>
        <w:szCs w:val="18"/>
      </w:rPr>
      <w:t xml:space="preserve"> </w:t>
    </w:r>
    <w:r w:rsidRPr="004F7D60">
      <w:rPr>
        <w:rFonts w:ascii="Arial" w:hAnsi="Arial" w:cs="Arial"/>
        <w:sz w:val="16"/>
        <w:szCs w:val="16"/>
      </w:rPr>
      <w:t>Fax: (843) 608-0970</w:t>
    </w:r>
    <w:r w:rsidR="00B37D09" w:rsidRPr="004F7D60">
      <w:rPr>
        <w:rFonts w:ascii="Arial" w:hAnsi="Arial" w:cs="Arial"/>
        <w:b/>
        <w:bCs/>
        <w:sz w:val="26"/>
        <w:szCs w:val="26"/>
      </w:rPr>
      <w:t xml:space="preserve"> </w:t>
    </w:r>
    <w:r w:rsidR="005C2332" w:rsidRPr="004F7D60">
      <w:rPr>
        <w:rFonts w:ascii="Arial" w:hAnsi="Arial" w:cs="Arial"/>
        <w:b/>
        <w:bCs/>
      </w:rPr>
      <w:t>‖</w:t>
    </w:r>
    <w:r w:rsidR="005C2332" w:rsidRPr="004F7D60">
      <w:rPr>
        <w:rFonts w:ascii="Arial" w:hAnsi="Arial" w:cs="Arial"/>
      </w:rPr>
      <w:t xml:space="preserve"> </w:t>
    </w:r>
    <w:r w:rsidRPr="004F7D60">
      <w:rPr>
        <w:rFonts w:ascii="Arial" w:hAnsi="Arial" w:cs="Arial"/>
        <w:sz w:val="16"/>
        <w:szCs w:val="16"/>
      </w:rPr>
      <w:t>www.lcvresearch.org</w:t>
    </w:r>
    <w:r w:rsidR="004F7D60" w:rsidRPr="004F7D60">
      <w:rPr>
        <w:rFonts w:ascii="Arial" w:hAnsi="Arial" w:cs="Arial"/>
        <w:sz w:val="16"/>
        <w:szCs w:val="16"/>
      </w:rPr>
      <w:t>/scibh</w:t>
    </w:r>
    <w:r w:rsidRPr="004F7D6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6EA3" w14:textId="77777777" w:rsidR="0085306F" w:rsidRDefault="0085306F" w:rsidP="00C25184">
      <w:pPr>
        <w:spacing w:after="0" w:line="240" w:lineRule="auto"/>
      </w:pPr>
      <w:r>
        <w:separator/>
      </w:r>
    </w:p>
  </w:footnote>
  <w:footnote w:type="continuationSeparator" w:id="0">
    <w:p w14:paraId="165010B7" w14:textId="77777777" w:rsidR="0085306F" w:rsidRDefault="0085306F" w:rsidP="00C2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F6B" w14:textId="7EFD0751" w:rsidR="00C25184" w:rsidRDefault="00B37D09">
    <w:pPr>
      <w:pStyle w:val="Header"/>
    </w:pPr>
    <w:r>
      <w:rPr>
        <w:rFonts w:ascii="Verdana" w:hAnsi="Verdana"/>
        <w:b/>
        <w:bCs/>
        <w:noProof/>
        <w:color w:val="343637"/>
        <w:sz w:val="28"/>
        <w:szCs w:val="28"/>
      </w:rPr>
      <mc:AlternateContent>
        <mc:Choice Requires="wps">
          <w:drawing>
            <wp:anchor distT="0" distB="0" distL="114300" distR="114300" simplePos="0" relativeHeight="251691008" behindDoc="0" locked="0" layoutInCell="1" allowOverlap="1" wp14:anchorId="3F4839B6" wp14:editId="7F8130B7">
              <wp:simplePos x="0" y="0"/>
              <wp:positionH relativeFrom="column">
                <wp:posOffset>318770</wp:posOffset>
              </wp:positionH>
              <wp:positionV relativeFrom="paragraph">
                <wp:posOffset>570865</wp:posOffset>
              </wp:positionV>
              <wp:extent cx="2962275" cy="5238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962275" cy="523875"/>
                      </a:xfrm>
                      <a:prstGeom prst="rect">
                        <a:avLst/>
                      </a:prstGeom>
                      <a:solidFill>
                        <a:schemeClr val="lt1"/>
                      </a:solidFill>
                      <a:ln w="6350">
                        <a:noFill/>
                      </a:ln>
                    </wps:spPr>
                    <wps:txb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839B6" id="_x0000_t202" coordsize="21600,21600" o:spt="202" path="m,l,21600r21600,l21600,xe">
              <v:stroke joinstyle="miter"/>
              <v:path gradientshapeok="t" o:connecttype="rect"/>
            </v:shapetype>
            <v:shape id="Text Box 6" o:spid="_x0000_s1026" type="#_x0000_t202" style="position:absolute;margin-left:25.1pt;margin-top:44.95pt;width:233.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" fillcolor="white [3201]" stroked="f" strokeweight=".5pt">
              <v:textbo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v:textbox>
            </v:shape>
          </w:pict>
        </mc:Fallback>
      </mc:AlternateContent>
    </w:r>
    <w:r>
      <w:rPr>
        <w:noProof/>
      </w:rPr>
      <w:drawing>
        <wp:anchor distT="0" distB="0" distL="114300" distR="114300" simplePos="0" relativeHeight="251635712" behindDoc="0" locked="0" layoutInCell="1" allowOverlap="1" wp14:anchorId="4BA3321D" wp14:editId="6DF883E3">
          <wp:simplePos x="0" y="0"/>
          <wp:positionH relativeFrom="column">
            <wp:posOffset>-619125</wp:posOffset>
          </wp:positionH>
          <wp:positionV relativeFrom="paragraph">
            <wp:posOffset>-238760</wp:posOffset>
          </wp:positionV>
          <wp:extent cx="3900170" cy="1085215"/>
          <wp:effectExtent l="0" t="0" r="5080" b="635"/>
          <wp:wrapTopAndBottom/>
          <wp:docPr id="925261772" name="Picture 92526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00170" cy="1085215"/>
                  </a:xfrm>
                  <a:prstGeom prst="rect">
                    <a:avLst/>
                  </a:prstGeom>
                </pic:spPr>
              </pic:pic>
            </a:graphicData>
          </a:graphic>
          <wp14:sizeRelH relativeFrom="margin">
            <wp14:pctWidth>0</wp14:pctWidth>
          </wp14:sizeRelH>
          <wp14:sizeRelV relativeFrom="margin">
            <wp14:pctHeight>0</wp14:pctHeight>
          </wp14:sizeRelV>
        </wp:anchor>
      </w:drawing>
    </w:r>
    <w:r w:rsidR="00361FFB">
      <w:rPr>
        <w:rFonts w:ascii="Verdana" w:hAnsi="Verdana"/>
        <w:b/>
        <w:bCs/>
        <w:noProof/>
        <w:color w:val="343637"/>
        <w:sz w:val="28"/>
        <w:szCs w:val="28"/>
      </w:rPr>
      <w:drawing>
        <wp:anchor distT="0" distB="0" distL="114300" distR="114300" simplePos="0" relativeHeight="251697152" behindDoc="0" locked="0" layoutInCell="1" allowOverlap="1" wp14:anchorId="1868B6F6" wp14:editId="07AD4E0E">
          <wp:simplePos x="0" y="0"/>
          <wp:positionH relativeFrom="column">
            <wp:posOffset>4105275</wp:posOffset>
          </wp:positionH>
          <wp:positionV relativeFrom="paragraph">
            <wp:posOffset>85090</wp:posOffset>
          </wp:positionV>
          <wp:extent cx="733425" cy="737870"/>
          <wp:effectExtent l="0" t="0" r="9525" b="5080"/>
          <wp:wrapThrough wrapText="bothSides">
            <wp:wrapPolygon edited="0">
              <wp:start x="0" y="0"/>
              <wp:lineTo x="0" y="21191"/>
              <wp:lineTo x="21319" y="21191"/>
              <wp:lineTo x="21319" y="0"/>
              <wp:lineTo x="0" y="0"/>
            </wp:wrapPolygon>
          </wp:wrapThrough>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33425" cy="737870"/>
                  </a:xfrm>
                  <a:prstGeom prst="rect">
                    <a:avLst/>
                  </a:prstGeom>
                </pic:spPr>
              </pic:pic>
            </a:graphicData>
          </a:graphic>
          <wp14:sizeRelH relativeFrom="margin">
            <wp14:pctWidth>0</wp14:pctWidth>
          </wp14:sizeRelH>
          <wp14:sizeRelV relativeFrom="margin">
            <wp14:pctHeight>0</wp14:pctHeight>
          </wp14:sizeRelV>
        </wp:anchor>
      </w:drawing>
    </w:r>
    <w:r w:rsidR="00147D96">
      <w:rPr>
        <w:rFonts w:ascii="Verdana" w:hAnsi="Verdana"/>
        <w:b/>
        <w:bCs/>
        <w:noProof/>
        <w:color w:val="343637"/>
        <w:sz w:val="28"/>
        <w:szCs w:val="28"/>
      </w:rPr>
      <w:drawing>
        <wp:anchor distT="0" distB="0" distL="114300" distR="114300" simplePos="0" relativeHeight="251676672" behindDoc="0" locked="0" layoutInCell="1" allowOverlap="1" wp14:anchorId="26557351" wp14:editId="40AB3B51">
          <wp:simplePos x="0" y="0"/>
          <wp:positionH relativeFrom="column">
            <wp:posOffset>5019675</wp:posOffset>
          </wp:positionH>
          <wp:positionV relativeFrom="paragraph">
            <wp:posOffset>66675</wp:posOffset>
          </wp:positionV>
          <wp:extent cx="1196340" cy="758825"/>
          <wp:effectExtent l="0" t="0" r="3810" b="3175"/>
          <wp:wrapThrough wrapText="bothSides">
            <wp:wrapPolygon edited="0">
              <wp:start x="0" y="0"/>
              <wp:lineTo x="0" y="21148"/>
              <wp:lineTo x="21325" y="21148"/>
              <wp:lineTo x="21325"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63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C61FF"/>
    <w:multiLevelType w:val="hybridMultilevel"/>
    <w:tmpl w:val="5EDE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84"/>
    <w:rsid w:val="000007A5"/>
    <w:rsid w:val="00024A62"/>
    <w:rsid w:val="0003461C"/>
    <w:rsid w:val="00054405"/>
    <w:rsid w:val="0006359A"/>
    <w:rsid w:val="0007445F"/>
    <w:rsid w:val="00082C86"/>
    <w:rsid w:val="00094C1B"/>
    <w:rsid w:val="000B4FC7"/>
    <w:rsid w:val="000D0F25"/>
    <w:rsid w:val="000D77D8"/>
    <w:rsid w:val="000D7947"/>
    <w:rsid w:val="000E2041"/>
    <w:rsid w:val="000E7808"/>
    <w:rsid w:val="000F2146"/>
    <w:rsid w:val="000F7408"/>
    <w:rsid w:val="00133FAB"/>
    <w:rsid w:val="001344D3"/>
    <w:rsid w:val="001438BD"/>
    <w:rsid w:val="00147D96"/>
    <w:rsid w:val="00153338"/>
    <w:rsid w:val="001541DE"/>
    <w:rsid w:val="00155331"/>
    <w:rsid w:val="00171F4F"/>
    <w:rsid w:val="0017356A"/>
    <w:rsid w:val="0018091F"/>
    <w:rsid w:val="001B426A"/>
    <w:rsid w:val="001C28F4"/>
    <w:rsid w:val="001C3233"/>
    <w:rsid w:val="001C4260"/>
    <w:rsid w:val="001C4837"/>
    <w:rsid w:val="001F7983"/>
    <w:rsid w:val="00256553"/>
    <w:rsid w:val="002759AF"/>
    <w:rsid w:val="00280039"/>
    <w:rsid w:val="00282552"/>
    <w:rsid w:val="00292F10"/>
    <w:rsid w:val="002D3603"/>
    <w:rsid w:val="002D7856"/>
    <w:rsid w:val="002E2927"/>
    <w:rsid w:val="002E55E1"/>
    <w:rsid w:val="002F5E48"/>
    <w:rsid w:val="00305751"/>
    <w:rsid w:val="00324888"/>
    <w:rsid w:val="003352B0"/>
    <w:rsid w:val="00361FFB"/>
    <w:rsid w:val="00375085"/>
    <w:rsid w:val="0038759B"/>
    <w:rsid w:val="003B3E26"/>
    <w:rsid w:val="003B4FAC"/>
    <w:rsid w:val="003D1909"/>
    <w:rsid w:val="003D4DCC"/>
    <w:rsid w:val="003E4D5D"/>
    <w:rsid w:val="003E4FE6"/>
    <w:rsid w:val="003F5D0C"/>
    <w:rsid w:val="00412F14"/>
    <w:rsid w:val="0042306D"/>
    <w:rsid w:val="00431B43"/>
    <w:rsid w:val="0043202D"/>
    <w:rsid w:val="00432AC2"/>
    <w:rsid w:val="00443D74"/>
    <w:rsid w:val="004557FD"/>
    <w:rsid w:val="00456155"/>
    <w:rsid w:val="00456647"/>
    <w:rsid w:val="0046618F"/>
    <w:rsid w:val="0049327C"/>
    <w:rsid w:val="004979F8"/>
    <w:rsid w:val="004A4D91"/>
    <w:rsid w:val="004A7F64"/>
    <w:rsid w:val="004B05CB"/>
    <w:rsid w:val="004B4DDE"/>
    <w:rsid w:val="004B7C74"/>
    <w:rsid w:val="004C6490"/>
    <w:rsid w:val="004C6EF9"/>
    <w:rsid w:val="004C7F31"/>
    <w:rsid w:val="004F7D60"/>
    <w:rsid w:val="00515594"/>
    <w:rsid w:val="005207A7"/>
    <w:rsid w:val="0053190E"/>
    <w:rsid w:val="005362FB"/>
    <w:rsid w:val="00543EAC"/>
    <w:rsid w:val="00555284"/>
    <w:rsid w:val="00567FEE"/>
    <w:rsid w:val="00585103"/>
    <w:rsid w:val="00587233"/>
    <w:rsid w:val="00590614"/>
    <w:rsid w:val="005C2332"/>
    <w:rsid w:val="005F53F1"/>
    <w:rsid w:val="00603C0F"/>
    <w:rsid w:val="00616915"/>
    <w:rsid w:val="006614DA"/>
    <w:rsid w:val="00676A16"/>
    <w:rsid w:val="006850C8"/>
    <w:rsid w:val="006C1B88"/>
    <w:rsid w:val="006F0251"/>
    <w:rsid w:val="006F74E7"/>
    <w:rsid w:val="00705340"/>
    <w:rsid w:val="007204AA"/>
    <w:rsid w:val="00726A68"/>
    <w:rsid w:val="0073057C"/>
    <w:rsid w:val="00734A2D"/>
    <w:rsid w:val="00736932"/>
    <w:rsid w:val="00740AD0"/>
    <w:rsid w:val="007500B7"/>
    <w:rsid w:val="00751304"/>
    <w:rsid w:val="00752DFF"/>
    <w:rsid w:val="007645CA"/>
    <w:rsid w:val="00770217"/>
    <w:rsid w:val="0078580E"/>
    <w:rsid w:val="007955CD"/>
    <w:rsid w:val="007B6757"/>
    <w:rsid w:val="007C1245"/>
    <w:rsid w:val="007C5F19"/>
    <w:rsid w:val="007D6BAA"/>
    <w:rsid w:val="007E0DAE"/>
    <w:rsid w:val="007F665A"/>
    <w:rsid w:val="007F726C"/>
    <w:rsid w:val="00820C03"/>
    <w:rsid w:val="00822617"/>
    <w:rsid w:val="00825DAD"/>
    <w:rsid w:val="00832145"/>
    <w:rsid w:val="00851973"/>
    <w:rsid w:val="0085306F"/>
    <w:rsid w:val="00854EE8"/>
    <w:rsid w:val="00881F36"/>
    <w:rsid w:val="00882347"/>
    <w:rsid w:val="008875D0"/>
    <w:rsid w:val="008A04B0"/>
    <w:rsid w:val="008B4F07"/>
    <w:rsid w:val="008E1AC3"/>
    <w:rsid w:val="008E6067"/>
    <w:rsid w:val="009026B2"/>
    <w:rsid w:val="009048E3"/>
    <w:rsid w:val="009054FA"/>
    <w:rsid w:val="00913E17"/>
    <w:rsid w:val="0091472F"/>
    <w:rsid w:val="009215BF"/>
    <w:rsid w:val="00932638"/>
    <w:rsid w:val="00955D03"/>
    <w:rsid w:val="0096175F"/>
    <w:rsid w:val="00967AF2"/>
    <w:rsid w:val="009B2B7E"/>
    <w:rsid w:val="009E7B89"/>
    <w:rsid w:val="009F2C75"/>
    <w:rsid w:val="00A24609"/>
    <w:rsid w:val="00A413B0"/>
    <w:rsid w:val="00A77550"/>
    <w:rsid w:val="00A81776"/>
    <w:rsid w:val="00A85DE2"/>
    <w:rsid w:val="00A92C2E"/>
    <w:rsid w:val="00AA0BB9"/>
    <w:rsid w:val="00AB14A2"/>
    <w:rsid w:val="00AB1E98"/>
    <w:rsid w:val="00AD09BC"/>
    <w:rsid w:val="00AE1570"/>
    <w:rsid w:val="00B03C87"/>
    <w:rsid w:val="00B121C9"/>
    <w:rsid w:val="00B2031F"/>
    <w:rsid w:val="00B37104"/>
    <w:rsid w:val="00B37D09"/>
    <w:rsid w:val="00B42A8D"/>
    <w:rsid w:val="00B463AA"/>
    <w:rsid w:val="00B73F00"/>
    <w:rsid w:val="00B76E0B"/>
    <w:rsid w:val="00B906F4"/>
    <w:rsid w:val="00BA5764"/>
    <w:rsid w:val="00BC67C9"/>
    <w:rsid w:val="00BE7A78"/>
    <w:rsid w:val="00C05579"/>
    <w:rsid w:val="00C1215E"/>
    <w:rsid w:val="00C25184"/>
    <w:rsid w:val="00C265AB"/>
    <w:rsid w:val="00C47294"/>
    <w:rsid w:val="00C574F3"/>
    <w:rsid w:val="00C7724F"/>
    <w:rsid w:val="00CA1D7C"/>
    <w:rsid w:val="00CA60D0"/>
    <w:rsid w:val="00CA685B"/>
    <w:rsid w:val="00CB0DA0"/>
    <w:rsid w:val="00CE030B"/>
    <w:rsid w:val="00D0630E"/>
    <w:rsid w:val="00D24850"/>
    <w:rsid w:val="00D3087E"/>
    <w:rsid w:val="00D46F63"/>
    <w:rsid w:val="00D47359"/>
    <w:rsid w:val="00D50910"/>
    <w:rsid w:val="00D53AA5"/>
    <w:rsid w:val="00D543F1"/>
    <w:rsid w:val="00D5511B"/>
    <w:rsid w:val="00D665B6"/>
    <w:rsid w:val="00D7495D"/>
    <w:rsid w:val="00D82F2D"/>
    <w:rsid w:val="00DB0620"/>
    <w:rsid w:val="00DB70B7"/>
    <w:rsid w:val="00DC4261"/>
    <w:rsid w:val="00E012CC"/>
    <w:rsid w:val="00E10BE6"/>
    <w:rsid w:val="00E571A1"/>
    <w:rsid w:val="00E80EE7"/>
    <w:rsid w:val="00E87495"/>
    <w:rsid w:val="00EB16D3"/>
    <w:rsid w:val="00EB48AC"/>
    <w:rsid w:val="00ED1383"/>
    <w:rsid w:val="00EF0CFB"/>
    <w:rsid w:val="00F231BA"/>
    <w:rsid w:val="00F42C93"/>
    <w:rsid w:val="00F50BA9"/>
    <w:rsid w:val="00F539C1"/>
    <w:rsid w:val="00F545F3"/>
    <w:rsid w:val="00F83075"/>
    <w:rsid w:val="00F83BAF"/>
    <w:rsid w:val="00F86C3C"/>
    <w:rsid w:val="00F93E8C"/>
    <w:rsid w:val="00FA1E10"/>
    <w:rsid w:val="00FB4D73"/>
    <w:rsid w:val="00FC398A"/>
    <w:rsid w:val="00FC405D"/>
    <w:rsid w:val="00FE0586"/>
    <w:rsid w:val="00FE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1C9DF"/>
  <w15:chartTrackingRefBased/>
  <w15:docId w15:val="{37F43808-9B05-43E4-BC74-77BEE5F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184"/>
  </w:style>
  <w:style w:type="paragraph" w:styleId="Footer">
    <w:name w:val="footer"/>
    <w:basedOn w:val="Normal"/>
    <w:link w:val="FooterChar"/>
    <w:uiPriority w:val="99"/>
    <w:unhideWhenUsed/>
    <w:rsid w:val="00C25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184"/>
  </w:style>
  <w:style w:type="paragraph" w:styleId="ListParagraph">
    <w:name w:val="List Paragraph"/>
    <w:basedOn w:val="Normal"/>
    <w:uiPriority w:val="34"/>
    <w:qFormat/>
    <w:rsid w:val="00412F14"/>
    <w:pPr>
      <w:ind w:left="720"/>
      <w:contextualSpacing/>
    </w:pPr>
  </w:style>
  <w:style w:type="character" w:styleId="CommentReference">
    <w:name w:val="annotation reference"/>
    <w:basedOn w:val="DefaultParagraphFont"/>
    <w:uiPriority w:val="99"/>
    <w:semiHidden/>
    <w:unhideWhenUsed/>
    <w:rsid w:val="00D47359"/>
    <w:rPr>
      <w:sz w:val="16"/>
      <w:szCs w:val="16"/>
    </w:rPr>
  </w:style>
  <w:style w:type="paragraph" w:styleId="CommentText">
    <w:name w:val="annotation text"/>
    <w:basedOn w:val="Normal"/>
    <w:link w:val="CommentTextChar"/>
    <w:uiPriority w:val="99"/>
    <w:semiHidden/>
    <w:unhideWhenUsed/>
    <w:rsid w:val="00D47359"/>
    <w:pPr>
      <w:spacing w:line="240" w:lineRule="auto"/>
    </w:pPr>
    <w:rPr>
      <w:sz w:val="20"/>
      <w:szCs w:val="20"/>
    </w:rPr>
  </w:style>
  <w:style w:type="character" w:customStyle="1" w:styleId="CommentTextChar">
    <w:name w:val="Comment Text Char"/>
    <w:basedOn w:val="DefaultParagraphFont"/>
    <w:link w:val="CommentText"/>
    <w:uiPriority w:val="99"/>
    <w:semiHidden/>
    <w:rsid w:val="00D47359"/>
    <w:rPr>
      <w:sz w:val="20"/>
      <w:szCs w:val="20"/>
    </w:rPr>
  </w:style>
  <w:style w:type="paragraph" w:styleId="CommentSubject">
    <w:name w:val="annotation subject"/>
    <w:basedOn w:val="CommentText"/>
    <w:next w:val="CommentText"/>
    <w:link w:val="CommentSubjectChar"/>
    <w:uiPriority w:val="99"/>
    <w:semiHidden/>
    <w:unhideWhenUsed/>
    <w:rsid w:val="00D47359"/>
    <w:rPr>
      <w:b/>
      <w:bCs/>
    </w:rPr>
  </w:style>
  <w:style w:type="character" w:customStyle="1" w:styleId="CommentSubjectChar">
    <w:name w:val="Comment Subject Char"/>
    <w:basedOn w:val="CommentTextChar"/>
    <w:link w:val="CommentSubject"/>
    <w:uiPriority w:val="99"/>
    <w:semiHidden/>
    <w:rsid w:val="00D47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Lapp</dc:creator>
  <cp:keywords/>
  <dc:description/>
  <cp:lastModifiedBy>Allison L. Acree</cp:lastModifiedBy>
  <cp:revision>37</cp:revision>
  <dcterms:created xsi:type="dcterms:W3CDTF">2021-09-13T13:28:00Z</dcterms:created>
  <dcterms:modified xsi:type="dcterms:W3CDTF">2021-09-13T13:54:00Z</dcterms:modified>
</cp:coreProperties>
</file>